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F9A1" w14:textId="30B94C29" w:rsidR="00083112" w:rsidRPr="00083112" w:rsidRDefault="00DD7A8A" w:rsidP="0008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Séminaire participatif</w:t>
      </w:r>
    </w:p>
    <w:p w14:paraId="4FA27732" w14:textId="77777777" w:rsidR="009A540A" w:rsidRPr="00083112" w:rsidRDefault="00083112" w:rsidP="0008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83112">
        <w:rPr>
          <w:b/>
          <w:sz w:val="28"/>
        </w:rPr>
        <w:t>Gestion de la fertilité des sols et fertilisation de la canne à sucre pour soutenir la durabilité des exploitations agricoles</w:t>
      </w:r>
    </w:p>
    <w:p w14:paraId="26C38D9C" w14:textId="77777777" w:rsidR="00083112" w:rsidRPr="00E25A90" w:rsidRDefault="00083112" w:rsidP="00E21AC0">
      <w:pPr>
        <w:spacing w:line="240" w:lineRule="auto"/>
        <w:rPr>
          <w:sz w:val="14"/>
        </w:rPr>
      </w:pPr>
    </w:p>
    <w:p w14:paraId="371C6859" w14:textId="0C6963AC" w:rsidR="00083112" w:rsidRDefault="00377FE3" w:rsidP="002F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(</w:t>
      </w:r>
      <w:proofErr w:type="gramStart"/>
      <w:r>
        <w:t>à</w:t>
      </w:r>
      <w:proofErr w:type="gramEnd"/>
      <w:r>
        <w:t xml:space="preserve"> la SCEA Savannah</w:t>
      </w:r>
      <w:r w:rsidR="009F189A">
        <w:t>, chemin de la Tour des Roches, St Paul</w:t>
      </w:r>
      <w:r w:rsidRPr="00377FE3">
        <w:t xml:space="preserve">) </w:t>
      </w:r>
      <w:r w:rsidR="00083112" w:rsidRPr="00083112">
        <w:rPr>
          <w:b/>
        </w:rPr>
        <w:t>Séquence n°</w:t>
      </w:r>
      <w:r w:rsidR="00867EE2">
        <w:t>1</w:t>
      </w:r>
      <w:r w:rsidR="00083112">
        <w:t xml:space="preserve"> : </w:t>
      </w:r>
      <w:r w:rsidR="00867EE2">
        <w:t>Les fertilisants : leurs natures et fonctions</w:t>
      </w:r>
    </w:p>
    <w:p w14:paraId="57DBED88" w14:textId="77777777" w:rsidR="00083112" w:rsidRPr="00E25A90" w:rsidRDefault="00083112">
      <w:pPr>
        <w:rPr>
          <w:sz w:val="14"/>
        </w:rPr>
      </w:pPr>
    </w:p>
    <w:tbl>
      <w:tblPr>
        <w:tblStyle w:val="Grilledutableau"/>
        <w:tblW w:w="14817" w:type="dxa"/>
        <w:tblLook w:val="04A0" w:firstRow="1" w:lastRow="0" w:firstColumn="1" w:lastColumn="0" w:noHBand="0" w:noVBand="1"/>
      </w:tblPr>
      <w:tblGrid>
        <w:gridCol w:w="988"/>
        <w:gridCol w:w="1591"/>
        <w:gridCol w:w="8861"/>
        <w:gridCol w:w="1062"/>
        <w:gridCol w:w="2315"/>
      </w:tblGrid>
      <w:tr w:rsidR="00377FE3" w:rsidRPr="00083112" w14:paraId="6F6FE906" w14:textId="77777777" w:rsidTr="00377FE3">
        <w:tc>
          <w:tcPr>
            <w:tcW w:w="988" w:type="dxa"/>
          </w:tcPr>
          <w:p w14:paraId="2B345406" w14:textId="77777777" w:rsidR="00377FE3" w:rsidRPr="00083112" w:rsidRDefault="00377FE3" w:rsidP="00377FE3">
            <w:pPr>
              <w:rPr>
                <w:b/>
              </w:rPr>
            </w:pPr>
            <w:r w:rsidRPr="00083112">
              <w:rPr>
                <w:b/>
              </w:rPr>
              <w:t>Déroulé</w:t>
            </w:r>
          </w:p>
        </w:tc>
        <w:tc>
          <w:tcPr>
            <w:tcW w:w="1591" w:type="dxa"/>
          </w:tcPr>
          <w:p w14:paraId="23A96830" w14:textId="6207DBA9" w:rsidR="00377FE3" w:rsidRPr="00083112" w:rsidRDefault="00377FE3" w:rsidP="00377FE3">
            <w:pPr>
              <w:ind w:left="-101"/>
              <w:rPr>
                <w:b/>
              </w:rPr>
            </w:pPr>
          </w:p>
        </w:tc>
        <w:tc>
          <w:tcPr>
            <w:tcW w:w="8861" w:type="dxa"/>
          </w:tcPr>
          <w:p w14:paraId="118826F3" w14:textId="54D953DE" w:rsidR="00377FE3" w:rsidRPr="00083112" w:rsidRDefault="00377FE3" w:rsidP="00377FE3">
            <w:pPr>
              <w:rPr>
                <w:b/>
              </w:rPr>
            </w:pPr>
            <w:r w:rsidRPr="00083112">
              <w:rPr>
                <w:b/>
              </w:rPr>
              <w:t>Contenu</w:t>
            </w:r>
          </w:p>
        </w:tc>
        <w:tc>
          <w:tcPr>
            <w:tcW w:w="1062" w:type="dxa"/>
          </w:tcPr>
          <w:p w14:paraId="2F4AF7AB" w14:textId="77777777" w:rsidR="00377FE3" w:rsidRPr="00083112" w:rsidRDefault="00377FE3" w:rsidP="00377FE3">
            <w:pPr>
              <w:rPr>
                <w:b/>
              </w:rPr>
            </w:pPr>
            <w:r w:rsidRPr="00083112">
              <w:rPr>
                <w:b/>
              </w:rPr>
              <w:t>Format</w:t>
            </w:r>
          </w:p>
        </w:tc>
        <w:tc>
          <w:tcPr>
            <w:tcW w:w="2315" w:type="dxa"/>
          </w:tcPr>
          <w:p w14:paraId="6A0C2838" w14:textId="77777777" w:rsidR="00377FE3" w:rsidRPr="00083112" w:rsidRDefault="00377FE3" w:rsidP="00377FE3">
            <w:pPr>
              <w:rPr>
                <w:b/>
              </w:rPr>
            </w:pPr>
            <w:r w:rsidRPr="00083112">
              <w:rPr>
                <w:b/>
              </w:rPr>
              <w:t>Animateurs/</w:t>
            </w:r>
            <w:proofErr w:type="spellStart"/>
            <w:r w:rsidRPr="00083112">
              <w:rPr>
                <w:b/>
              </w:rPr>
              <w:t>trices</w:t>
            </w:r>
            <w:proofErr w:type="spellEnd"/>
          </w:p>
        </w:tc>
      </w:tr>
      <w:tr w:rsidR="00377FE3" w14:paraId="456489F5" w14:textId="77777777" w:rsidTr="00377FE3">
        <w:tc>
          <w:tcPr>
            <w:tcW w:w="988" w:type="dxa"/>
          </w:tcPr>
          <w:p w14:paraId="334B6E9C" w14:textId="4ACDAA09" w:rsidR="00377FE3" w:rsidRDefault="00377FE3" w:rsidP="00377FE3">
            <w:r>
              <w:t xml:space="preserve">Demi-journée </w:t>
            </w:r>
          </w:p>
        </w:tc>
        <w:tc>
          <w:tcPr>
            <w:tcW w:w="1591" w:type="dxa"/>
          </w:tcPr>
          <w:p w14:paraId="136D6C3F" w14:textId="7E33E1A0" w:rsidR="00377FE3" w:rsidRPr="00867EE2" w:rsidRDefault="00377FE3" w:rsidP="00377FE3">
            <w:pPr>
              <w:spacing w:line="276" w:lineRule="auto"/>
              <w:ind w:left="-101"/>
              <w:jc w:val="center"/>
              <w:rPr>
                <w:b/>
              </w:rPr>
            </w:pPr>
          </w:p>
        </w:tc>
        <w:tc>
          <w:tcPr>
            <w:tcW w:w="8861" w:type="dxa"/>
            <w:vAlign w:val="center"/>
          </w:tcPr>
          <w:p w14:paraId="6FDF3202" w14:textId="501E2B04" w:rsidR="00377FE3" w:rsidRPr="00867EE2" w:rsidRDefault="00377FE3" w:rsidP="00377FE3">
            <w:pPr>
              <w:spacing w:line="276" w:lineRule="auto"/>
              <w:ind w:left="215"/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608E60AC" w14:textId="77777777" w:rsidR="00377FE3" w:rsidRDefault="00377FE3" w:rsidP="00377FE3">
            <w:pPr>
              <w:jc w:val="center"/>
            </w:pPr>
            <w:r>
              <w:t>Salle+ terrain</w:t>
            </w:r>
          </w:p>
        </w:tc>
        <w:tc>
          <w:tcPr>
            <w:tcW w:w="2315" w:type="dxa"/>
          </w:tcPr>
          <w:p w14:paraId="511FA0B1" w14:textId="77777777" w:rsidR="00377FE3" w:rsidRDefault="00377FE3" w:rsidP="00377FE3"/>
        </w:tc>
      </w:tr>
      <w:tr w:rsidR="00377FE3" w14:paraId="57D3767C" w14:textId="77777777" w:rsidTr="00377FE3">
        <w:trPr>
          <w:trHeight w:val="417"/>
        </w:trPr>
        <w:tc>
          <w:tcPr>
            <w:tcW w:w="988" w:type="dxa"/>
          </w:tcPr>
          <w:p w14:paraId="0F91761C" w14:textId="270C4D30" w:rsidR="00377FE3" w:rsidRDefault="00377FE3" w:rsidP="00377FE3">
            <w:r>
              <w:t>8h00</w:t>
            </w:r>
          </w:p>
        </w:tc>
        <w:tc>
          <w:tcPr>
            <w:tcW w:w="1591" w:type="dxa"/>
          </w:tcPr>
          <w:p w14:paraId="5A6CD182" w14:textId="2897DCC0" w:rsidR="00377FE3" w:rsidRDefault="00377FE3" w:rsidP="00377FE3">
            <w:pPr>
              <w:spacing w:line="276" w:lineRule="auto"/>
              <w:ind w:left="-101"/>
            </w:pPr>
            <w:r>
              <w:t>30min</w:t>
            </w:r>
          </w:p>
        </w:tc>
        <w:tc>
          <w:tcPr>
            <w:tcW w:w="8861" w:type="dxa"/>
          </w:tcPr>
          <w:p w14:paraId="1BAE510E" w14:textId="6C29ECCC" w:rsidR="00377FE3" w:rsidRPr="00616C28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 xml:space="preserve">Accueil café; </w:t>
            </w:r>
          </w:p>
        </w:tc>
        <w:tc>
          <w:tcPr>
            <w:tcW w:w="1062" w:type="dxa"/>
          </w:tcPr>
          <w:p w14:paraId="09683DFC" w14:textId="104E765B" w:rsidR="00377FE3" w:rsidRDefault="00377FE3" w:rsidP="00377FE3">
            <w:r>
              <w:t xml:space="preserve">Salle </w:t>
            </w:r>
          </w:p>
        </w:tc>
        <w:tc>
          <w:tcPr>
            <w:tcW w:w="2315" w:type="dxa"/>
          </w:tcPr>
          <w:p w14:paraId="7F1EB35A" w14:textId="5BCD4C8C" w:rsidR="00377FE3" w:rsidRDefault="00377FE3" w:rsidP="00377FE3"/>
        </w:tc>
      </w:tr>
      <w:tr w:rsidR="00377FE3" w14:paraId="11D12DA7" w14:textId="77777777" w:rsidTr="00377FE3">
        <w:trPr>
          <w:trHeight w:val="417"/>
        </w:trPr>
        <w:tc>
          <w:tcPr>
            <w:tcW w:w="988" w:type="dxa"/>
          </w:tcPr>
          <w:p w14:paraId="3F68488D" w14:textId="2F77C403" w:rsidR="00377FE3" w:rsidRDefault="00377FE3" w:rsidP="00377FE3">
            <w:r>
              <w:t>8h30</w:t>
            </w:r>
          </w:p>
        </w:tc>
        <w:tc>
          <w:tcPr>
            <w:tcW w:w="1591" w:type="dxa"/>
          </w:tcPr>
          <w:p w14:paraId="1EB42A42" w14:textId="1235C426" w:rsidR="00377FE3" w:rsidRDefault="00377FE3" w:rsidP="00377FE3">
            <w:pPr>
              <w:spacing w:line="276" w:lineRule="auto"/>
              <w:ind w:left="-101"/>
            </w:pPr>
            <w:r>
              <w:t>30min</w:t>
            </w:r>
          </w:p>
        </w:tc>
        <w:tc>
          <w:tcPr>
            <w:tcW w:w="8861" w:type="dxa"/>
          </w:tcPr>
          <w:p w14:paraId="00C5E213" w14:textId="1F6E2C39" w:rsidR="00377FE3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>Quelques mots sur le contenu et le déroulé de la journée</w:t>
            </w:r>
          </w:p>
        </w:tc>
        <w:tc>
          <w:tcPr>
            <w:tcW w:w="1062" w:type="dxa"/>
          </w:tcPr>
          <w:p w14:paraId="427E99F1" w14:textId="77777777" w:rsidR="00377FE3" w:rsidRDefault="00377FE3" w:rsidP="00377FE3"/>
        </w:tc>
        <w:tc>
          <w:tcPr>
            <w:tcW w:w="2315" w:type="dxa"/>
          </w:tcPr>
          <w:p w14:paraId="0DE47E62" w14:textId="06D99FDF" w:rsidR="00377FE3" w:rsidRDefault="003C68A0" w:rsidP="00377FE3">
            <w:r>
              <w:t xml:space="preserve">Matthieu </w:t>
            </w:r>
            <w:proofErr w:type="spellStart"/>
            <w:r>
              <w:t>Bravin</w:t>
            </w:r>
            <w:proofErr w:type="spellEnd"/>
            <w:r>
              <w:t>, Laurent Thuriès</w:t>
            </w:r>
          </w:p>
        </w:tc>
      </w:tr>
      <w:tr w:rsidR="00377FE3" w14:paraId="7A878CF4" w14:textId="77777777" w:rsidTr="00377FE3">
        <w:tc>
          <w:tcPr>
            <w:tcW w:w="988" w:type="dxa"/>
          </w:tcPr>
          <w:p w14:paraId="2EAEA4B9" w14:textId="77777777" w:rsidR="00377FE3" w:rsidRDefault="00377FE3" w:rsidP="00377FE3"/>
        </w:tc>
        <w:tc>
          <w:tcPr>
            <w:tcW w:w="1591" w:type="dxa"/>
          </w:tcPr>
          <w:p w14:paraId="7CF21104" w14:textId="77777777" w:rsidR="00377FE3" w:rsidRDefault="00377FE3" w:rsidP="00377FE3">
            <w:pPr>
              <w:spacing w:line="276" w:lineRule="auto"/>
              <w:ind w:left="-101"/>
            </w:pPr>
          </w:p>
        </w:tc>
        <w:tc>
          <w:tcPr>
            <w:tcW w:w="8861" w:type="dxa"/>
          </w:tcPr>
          <w:p w14:paraId="6D83AF0D" w14:textId="0F1EF316" w:rsidR="00377FE3" w:rsidRDefault="00377FE3" w:rsidP="00377FE3">
            <w:pPr>
              <w:spacing w:line="276" w:lineRule="auto"/>
              <w:ind w:left="217"/>
              <w:jc w:val="center"/>
            </w:pPr>
            <w:r w:rsidRPr="00B5492D">
              <w:rPr>
                <w:b/>
              </w:rPr>
              <w:t>Fertilisants minéraux et organiques : la théorie</w:t>
            </w:r>
          </w:p>
        </w:tc>
        <w:tc>
          <w:tcPr>
            <w:tcW w:w="1062" w:type="dxa"/>
          </w:tcPr>
          <w:p w14:paraId="6FDF7570" w14:textId="77777777" w:rsidR="00377FE3" w:rsidRDefault="00377FE3" w:rsidP="00377FE3"/>
        </w:tc>
        <w:tc>
          <w:tcPr>
            <w:tcW w:w="2315" w:type="dxa"/>
          </w:tcPr>
          <w:p w14:paraId="6AA9434B" w14:textId="77777777" w:rsidR="00377FE3" w:rsidRDefault="00377FE3" w:rsidP="00377FE3"/>
        </w:tc>
      </w:tr>
      <w:tr w:rsidR="00377FE3" w14:paraId="324D4314" w14:textId="77777777" w:rsidTr="00377FE3">
        <w:tc>
          <w:tcPr>
            <w:tcW w:w="988" w:type="dxa"/>
          </w:tcPr>
          <w:p w14:paraId="3D0D45CF" w14:textId="78E60607" w:rsidR="00377FE3" w:rsidRDefault="00377FE3" w:rsidP="00377FE3">
            <w:r>
              <w:t>9h00</w:t>
            </w:r>
          </w:p>
        </w:tc>
        <w:tc>
          <w:tcPr>
            <w:tcW w:w="1591" w:type="dxa"/>
          </w:tcPr>
          <w:p w14:paraId="59AD9B40" w14:textId="468F9C85" w:rsidR="00377FE3" w:rsidRPr="00616C28" w:rsidRDefault="00377FE3" w:rsidP="00377FE3">
            <w:pPr>
              <w:spacing w:line="276" w:lineRule="auto"/>
              <w:ind w:left="-101"/>
            </w:pPr>
            <w:r>
              <w:t>45min</w:t>
            </w:r>
          </w:p>
        </w:tc>
        <w:tc>
          <w:tcPr>
            <w:tcW w:w="8861" w:type="dxa"/>
          </w:tcPr>
          <w:p w14:paraId="413BECD1" w14:textId="5736E759" w:rsidR="00377FE3" w:rsidRPr="00616C28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 xml:space="preserve">Engrais minéraux : </w:t>
            </w:r>
            <w:r w:rsidRPr="00616C28">
              <w:t>Théorie (les principes actifs, repères chiffrés..) et règlementation</w:t>
            </w:r>
            <w:r>
              <w:t xml:space="preserve"> </w:t>
            </w:r>
          </w:p>
        </w:tc>
        <w:tc>
          <w:tcPr>
            <w:tcW w:w="1062" w:type="dxa"/>
          </w:tcPr>
          <w:p w14:paraId="32F8E6DE" w14:textId="63ECCB00" w:rsidR="00377FE3" w:rsidRDefault="00377FE3" w:rsidP="00377FE3">
            <w:r>
              <w:t xml:space="preserve">Salle </w:t>
            </w:r>
          </w:p>
        </w:tc>
        <w:tc>
          <w:tcPr>
            <w:tcW w:w="2315" w:type="dxa"/>
          </w:tcPr>
          <w:p w14:paraId="11BD9D6E" w14:textId="77777777" w:rsidR="00377FE3" w:rsidRDefault="00377FE3" w:rsidP="00377FE3">
            <w:r>
              <w:t>Patrick Tiberghien</w:t>
            </w:r>
          </w:p>
        </w:tc>
      </w:tr>
      <w:tr w:rsidR="00377FE3" w14:paraId="6D03B7E7" w14:textId="77777777" w:rsidTr="00377FE3">
        <w:tc>
          <w:tcPr>
            <w:tcW w:w="988" w:type="dxa"/>
          </w:tcPr>
          <w:p w14:paraId="74B57E3B" w14:textId="5590A2FD" w:rsidR="00377FE3" w:rsidRDefault="00377FE3" w:rsidP="00377FE3">
            <w:r>
              <w:t>9h45</w:t>
            </w:r>
          </w:p>
        </w:tc>
        <w:tc>
          <w:tcPr>
            <w:tcW w:w="1591" w:type="dxa"/>
          </w:tcPr>
          <w:p w14:paraId="71B8905F" w14:textId="25484C51" w:rsidR="00377FE3" w:rsidRDefault="00377FE3" w:rsidP="00377FE3">
            <w:pPr>
              <w:spacing w:line="276" w:lineRule="auto"/>
              <w:ind w:left="-101"/>
            </w:pPr>
            <w:r>
              <w:t>15min</w:t>
            </w:r>
          </w:p>
        </w:tc>
        <w:tc>
          <w:tcPr>
            <w:tcW w:w="8861" w:type="dxa"/>
          </w:tcPr>
          <w:p w14:paraId="50877EED" w14:textId="01D09DB7" w:rsidR="00377FE3" w:rsidRPr="00616C28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>Engrais minéraux : Mise en pratique, diffusion de 2 films</w:t>
            </w:r>
            <w:r w:rsidR="009F189A">
              <w:t xml:space="preserve"> courts</w:t>
            </w:r>
            <w:bookmarkStart w:id="0" w:name="_GoBack"/>
            <w:bookmarkEnd w:id="0"/>
            <w:r>
              <w:t xml:space="preserve"> / fabrication et nature </w:t>
            </w:r>
          </w:p>
        </w:tc>
        <w:tc>
          <w:tcPr>
            <w:tcW w:w="1062" w:type="dxa"/>
          </w:tcPr>
          <w:p w14:paraId="791D3205" w14:textId="194F470E" w:rsidR="00377FE3" w:rsidRDefault="00377FE3" w:rsidP="00377FE3">
            <w:r>
              <w:t>Salle</w:t>
            </w:r>
          </w:p>
        </w:tc>
        <w:tc>
          <w:tcPr>
            <w:tcW w:w="2315" w:type="dxa"/>
          </w:tcPr>
          <w:p w14:paraId="7014E78B" w14:textId="4412C3E2" w:rsidR="00377FE3" w:rsidRDefault="00377FE3" w:rsidP="00377FE3">
            <w:r>
              <w:t>Patrick Tiberghien</w:t>
            </w:r>
          </w:p>
        </w:tc>
      </w:tr>
      <w:tr w:rsidR="00377FE3" w14:paraId="36442FD0" w14:textId="77777777" w:rsidTr="00377FE3">
        <w:tc>
          <w:tcPr>
            <w:tcW w:w="988" w:type="dxa"/>
          </w:tcPr>
          <w:p w14:paraId="56DA46E5" w14:textId="15DAC5E7" w:rsidR="00377FE3" w:rsidRDefault="00377FE3" w:rsidP="00377FE3">
            <w:r>
              <w:t>10h00</w:t>
            </w:r>
          </w:p>
        </w:tc>
        <w:tc>
          <w:tcPr>
            <w:tcW w:w="1591" w:type="dxa"/>
          </w:tcPr>
          <w:p w14:paraId="7FC3CF25" w14:textId="7F59DCBF" w:rsidR="00377FE3" w:rsidRPr="00A66E17" w:rsidRDefault="00377FE3" w:rsidP="00377FE3">
            <w:pPr>
              <w:spacing w:line="276" w:lineRule="auto"/>
              <w:ind w:left="-101"/>
            </w:pPr>
            <w:r>
              <w:t>1h30</w:t>
            </w:r>
          </w:p>
        </w:tc>
        <w:tc>
          <w:tcPr>
            <w:tcW w:w="8861" w:type="dxa"/>
          </w:tcPr>
          <w:p w14:paraId="0EDEB46C" w14:textId="26B3C5CD" w:rsidR="00377FE3" w:rsidRPr="00A66E17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 xml:space="preserve">Fertilisants organiques : Théorie, les </w:t>
            </w:r>
            <w:r w:rsidRPr="00A66E17">
              <w:t>effets sur Fertilité chimique, biologique et physique, avec repères chiffrés</w:t>
            </w:r>
            <w:r>
              <w:t xml:space="preserve"> et réglementation  </w:t>
            </w:r>
          </w:p>
        </w:tc>
        <w:tc>
          <w:tcPr>
            <w:tcW w:w="1062" w:type="dxa"/>
          </w:tcPr>
          <w:p w14:paraId="54F8A380" w14:textId="77777777" w:rsidR="00377FE3" w:rsidRDefault="00377FE3" w:rsidP="00377FE3">
            <w:r>
              <w:t>Salle</w:t>
            </w:r>
          </w:p>
          <w:p w14:paraId="10BC3A5A" w14:textId="24991621" w:rsidR="00377FE3" w:rsidRDefault="00377FE3" w:rsidP="00377FE3"/>
        </w:tc>
        <w:tc>
          <w:tcPr>
            <w:tcW w:w="2315" w:type="dxa"/>
          </w:tcPr>
          <w:p w14:paraId="20173B21" w14:textId="027FFEA1" w:rsidR="00377FE3" w:rsidRDefault="00377FE3" w:rsidP="00377FE3">
            <w:r>
              <w:t xml:space="preserve">Laurent Thuriès  </w:t>
            </w:r>
          </w:p>
        </w:tc>
      </w:tr>
      <w:tr w:rsidR="00377FE3" w14:paraId="278FED7A" w14:textId="77777777" w:rsidTr="00377FE3">
        <w:tc>
          <w:tcPr>
            <w:tcW w:w="988" w:type="dxa"/>
          </w:tcPr>
          <w:p w14:paraId="78A90357" w14:textId="553CE4F9" w:rsidR="00377FE3" w:rsidRDefault="00377FE3" w:rsidP="00377FE3">
            <w:r>
              <w:t>11h30</w:t>
            </w:r>
          </w:p>
        </w:tc>
        <w:tc>
          <w:tcPr>
            <w:tcW w:w="1591" w:type="dxa"/>
          </w:tcPr>
          <w:p w14:paraId="06F2199E" w14:textId="2006CF55" w:rsidR="00377FE3" w:rsidRDefault="00377FE3" w:rsidP="00377FE3">
            <w:pPr>
              <w:spacing w:line="276" w:lineRule="auto"/>
              <w:ind w:left="-101"/>
            </w:pPr>
            <w:r>
              <w:t>30min</w:t>
            </w:r>
          </w:p>
        </w:tc>
        <w:tc>
          <w:tcPr>
            <w:tcW w:w="8861" w:type="dxa"/>
          </w:tcPr>
          <w:p w14:paraId="49325E2C" w14:textId="3EA1638E" w:rsidR="00377FE3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>Pause quizz et présentation de différents produits disponibles localement</w:t>
            </w:r>
          </w:p>
          <w:p w14:paraId="10CD835D" w14:textId="2F7EE399" w:rsidR="00377FE3" w:rsidRPr="00A66E17" w:rsidRDefault="00377FE3" w:rsidP="00377FE3">
            <w:pPr>
              <w:spacing w:line="276" w:lineRule="auto"/>
              <w:ind w:left="217"/>
            </w:pPr>
          </w:p>
        </w:tc>
        <w:tc>
          <w:tcPr>
            <w:tcW w:w="1062" w:type="dxa"/>
          </w:tcPr>
          <w:p w14:paraId="37354CC5" w14:textId="52BC7290" w:rsidR="00377FE3" w:rsidRDefault="00377FE3" w:rsidP="00377FE3">
            <w:r>
              <w:t>extérieur</w:t>
            </w:r>
          </w:p>
        </w:tc>
        <w:tc>
          <w:tcPr>
            <w:tcW w:w="2315" w:type="dxa"/>
          </w:tcPr>
          <w:p w14:paraId="12CEEE12" w14:textId="3C40D4DF" w:rsidR="00377FE3" w:rsidRDefault="00377FE3" w:rsidP="00377FE3">
            <w:r>
              <w:t xml:space="preserve">Amélie Février, Patrick Tiberghien </w:t>
            </w:r>
          </w:p>
        </w:tc>
      </w:tr>
      <w:tr w:rsidR="00377FE3" w14:paraId="5953B8C1" w14:textId="77777777" w:rsidTr="00377FE3">
        <w:tc>
          <w:tcPr>
            <w:tcW w:w="988" w:type="dxa"/>
          </w:tcPr>
          <w:p w14:paraId="114AFE0E" w14:textId="0F0A90A7" w:rsidR="00377FE3" w:rsidRDefault="00377FE3" w:rsidP="00377FE3">
            <w:r>
              <w:t>12h00</w:t>
            </w:r>
          </w:p>
        </w:tc>
        <w:tc>
          <w:tcPr>
            <w:tcW w:w="1591" w:type="dxa"/>
          </w:tcPr>
          <w:p w14:paraId="05012A05" w14:textId="581240FF" w:rsidR="00377FE3" w:rsidRDefault="00377FE3" w:rsidP="00377FE3">
            <w:pPr>
              <w:spacing w:line="276" w:lineRule="auto"/>
              <w:ind w:left="-101"/>
            </w:pPr>
            <w:r>
              <w:t>30 min</w:t>
            </w:r>
          </w:p>
        </w:tc>
        <w:tc>
          <w:tcPr>
            <w:tcW w:w="8861" w:type="dxa"/>
          </w:tcPr>
          <w:p w14:paraId="18B5A782" w14:textId="6417A5A8" w:rsidR="00377FE3" w:rsidRDefault="003C68A0" w:rsidP="003C68A0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 xml:space="preserve">Fertilisants organiques : </w:t>
            </w:r>
            <w:r w:rsidR="00377FE3">
              <w:t>R</w:t>
            </w:r>
            <w:r w:rsidR="00377FE3" w:rsidRPr="00A66E17">
              <w:t>èglementation</w:t>
            </w:r>
            <w:r>
              <w:t xml:space="preserve">, </w:t>
            </w:r>
            <w:r w:rsidR="00377FE3">
              <w:t>focus sur l’Agriculture Biologique</w:t>
            </w:r>
          </w:p>
        </w:tc>
        <w:tc>
          <w:tcPr>
            <w:tcW w:w="1062" w:type="dxa"/>
          </w:tcPr>
          <w:p w14:paraId="0BE7E7B8" w14:textId="3C5E87EB" w:rsidR="00377FE3" w:rsidRDefault="00377FE3" w:rsidP="00377FE3">
            <w:r>
              <w:t>Salle</w:t>
            </w:r>
          </w:p>
        </w:tc>
        <w:tc>
          <w:tcPr>
            <w:tcW w:w="2315" w:type="dxa"/>
          </w:tcPr>
          <w:p w14:paraId="5AB127E1" w14:textId="1753A6DB" w:rsidR="00377FE3" w:rsidRDefault="00377FE3" w:rsidP="00377FE3">
            <w:r>
              <w:t xml:space="preserve">Agathe </w:t>
            </w:r>
            <w:proofErr w:type="spellStart"/>
            <w:r>
              <w:t>Deulvot</w:t>
            </w:r>
            <w:proofErr w:type="spellEnd"/>
          </w:p>
        </w:tc>
      </w:tr>
      <w:tr w:rsidR="00377FE3" w14:paraId="3C82A2D6" w14:textId="77777777" w:rsidTr="00377FE3">
        <w:tc>
          <w:tcPr>
            <w:tcW w:w="988" w:type="dxa"/>
          </w:tcPr>
          <w:p w14:paraId="0D13E698" w14:textId="47DCB34C" w:rsidR="00377FE3" w:rsidRDefault="00377FE3" w:rsidP="00377FE3">
            <w:r>
              <w:t>12h30</w:t>
            </w:r>
          </w:p>
        </w:tc>
        <w:tc>
          <w:tcPr>
            <w:tcW w:w="1591" w:type="dxa"/>
          </w:tcPr>
          <w:p w14:paraId="046202B1" w14:textId="710A8534" w:rsidR="00377FE3" w:rsidRDefault="00377FE3" w:rsidP="00377FE3">
            <w:pPr>
              <w:spacing w:line="276" w:lineRule="auto"/>
              <w:ind w:left="-101"/>
            </w:pPr>
            <w:r>
              <w:t xml:space="preserve">1h </w:t>
            </w:r>
          </w:p>
        </w:tc>
        <w:tc>
          <w:tcPr>
            <w:tcW w:w="8861" w:type="dxa"/>
          </w:tcPr>
          <w:p w14:paraId="4F820D0A" w14:textId="16DDB537" w:rsidR="00377FE3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>Pause déjeuner</w:t>
            </w:r>
          </w:p>
        </w:tc>
        <w:tc>
          <w:tcPr>
            <w:tcW w:w="1062" w:type="dxa"/>
          </w:tcPr>
          <w:p w14:paraId="4B3B1ED6" w14:textId="5E47CF50" w:rsidR="00377FE3" w:rsidRDefault="00377FE3" w:rsidP="00377FE3">
            <w:r>
              <w:t xml:space="preserve">Sur place </w:t>
            </w:r>
          </w:p>
        </w:tc>
        <w:tc>
          <w:tcPr>
            <w:tcW w:w="2315" w:type="dxa"/>
          </w:tcPr>
          <w:p w14:paraId="361AC84B" w14:textId="77777777" w:rsidR="00377FE3" w:rsidRDefault="00377FE3" w:rsidP="00377FE3"/>
        </w:tc>
      </w:tr>
      <w:tr w:rsidR="00377FE3" w14:paraId="4AFF010E" w14:textId="77777777" w:rsidTr="00377FE3">
        <w:tc>
          <w:tcPr>
            <w:tcW w:w="988" w:type="dxa"/>
          </w:tcPr>
          <w:p w14:paraId="7AADD16B" w14:textId="6904E519" w:rsidR="00377FE3" w:rsidRDefault="00377FE3" w:rsidP="00377FE3">
            <w:r>
              <w:t>Demi-journée</w:t>
            </w:r>
          </w:p>
        </w:tc>
        <w:tc>
          <w:tcPr>
            <w:tcW w:w="1591" w:type="dxa"/>
          </w:tcPr>
          <w:p w14:paraId="13A19E3D" w14:textId="6A340731" w:rsidR="00377FE3" w:rsidRDefault="00377FE3" w:rsidP="00377FE3">
            <w:pPr>
              <w:spacing w:line="276" w:lineRule="auto"/>
              <w:ind w:left="-101"/>
              <w:jc w:val="center"/>
              <w:rPr>
                <w:b/>
              </w:rPr>
            </w:pPr>
          </w:p>
        </w:tc>
        <w:tc>
          <w:tcPr>
            <w:tcW w:w="8861" w:type="dxa"/>
            <w:vAlign w:val="center"/>
          </w:tcPr>
          <w:p w14:paraId="7947E25D" w14:textId="3E02A3D8" w:rsidR="00377FE3" w:rsidRPr="00867EE2" w:rsidRDefault="00377FE3" w:rsidP="00377FE3">
            <w:pPr>
              <w:spacing w:line="276" w:lineRule="auto"/>
              <w:ind w:left="217"/>
              <w:jc w:val="center"/>
              <w:rPr>
                <w:b/>
              </w:rPr>
            </w:pPr>
            <w:r>
              <w:rPr>
                <w:b/>
              </w:rPr>
              <w:t>En pratique : suivi de procédé, qualification, usages</w:t>
            </w:r>
          </w:p>
          <w:p w14:paraId="55C40A96" w14:textId="77777777" w:rsidR="00377FE3" w:rsidRDefault="00377FE3" w:rsidP="00377FE3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CD6FF9F" w14:textId="39587FBB" w:rsidR="00377FE3" w:rsidRDefault="00377FE3" w:rsidP="00377FE3">
            <w:pPr>
              <w:jc w:val="center"/>
            </w:pPr>
            <w:r>
              <w:t xml:space="preserve"> terrain</w:t>
            </w:r>
          </w:p>
        </w:tc>
        <w:tc>
          <w:tcPr>
            <w:tcW w:w="2315" w:type="dxa"/>
          </w:tcPr>
          <w:p w14:paraId="3F195C84" w14:textId="77777777" w:rsidR="00377FE3" w:rsidRDefault="00377FE3" w:rsidP="00377FE3"/>
        </w:tc>
      </w:tr>
      <w:tr w:rsidR="00377FE3" w14:paraId="3552C534" w14:textId="77777777" w:rsidTr="00377FE3">
        <w:tc>
          <w:tcPr>
            <w:tcW w:w="988" w:type="dxa"/>
          </w:tcPr>
          <w:p w14:paraId="0DA2FB72" w14:textId="587E8465" w:rsidR="00377FE3" w:rsidRDefault="00377FE3" w:rsidP="00377FE3">
            <w:r>
              <w:t>13h30</w:t>
            </w:r>
          </w:p>
        </w:tc>
        <w:tc>
          <w:tcPr>
            <w:tcW w:w="1591" w:type="dxa"/>
          </w:tcPr>
          <w:p w14:paraId="40950E38" w14:textId="020FF8B3" w:rsidR="00377FE3" w:rsidRPr="00A66E17" w:rsidRDefault="00377FE3" w:rsidP="00377FE3">
            <w:pPr>
              <w:spacing w:line="276" w:lineRule="auto"/>
              <w:ind w:left="-101"/>
            </w:pPr>
            <w:r>
              <w:t>1 h30</w:t>
            </w:r>
          </w:p>
        </w:tc>
        <w:tc>
          <w:tcPr>
            <w:tcW w:w="8861" w:type="dxa"/>
          </w:tcPr>
          <w:p w14:paraId="314F50F6" w14:textId="71027293" w:rsidR="00377FE3" w:rsidRPr="00A66E17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 w:rsidRPr="00A66E17">
              <w:t xml:space="preserve">Pratiques d’épandages </w:t>
            </w:r>
            <w:r>
              <w:t xml:space="preserve">de fertilisants organiques  </w:t>
            </w:r>
            <w:r w:rsidRPr="00A66E17">
              <w:t>(aspects techniques)</w:t>
            </w:r>
            <w:r>
              <w:t xml:space="preserve"> + démo épandages par Mr </w:t>
            </w:r>
            <w:proofErr w:type="spellStart"/>
            <w:r>
              <w:t>Hoarau</w:t>
            </w:r>
            <w:proofErr w:type="spellEnd"/>
            <w:r>
              <w:t xml:space="preserve"> Alexandre ; mise en pratique = visualiser les doses et l’homogénéité</w:t>
            </w:r>
          </w:p>
        </w:tc>
        <w:tc>
          <w:tcPr>
            <w:tcW w:w="1062" w:type="dxa"/>
          </w:tcPr>
          <w:p w14:paraId="4AE1C64F" w14:textId="77777777" w:rsidR="00377FE3" w:rsidRDefault="00377FE3" w:rsidP="00377FE3">
            <w:r>
              <w:t>Terrain</w:t>
            </w:r>
          </w:p>
          <w:p w14:paraId="52818F7A" w14:textId="77777777" w:rsidR="00377FE3" w:rsidRDefault="00377FE3" w:rsidP="00377FE3"/>
        </w:tc>
        <w:tc>
          <w:tcPr>
            <w:tcW w:w="2315" w:type="dxa"/>
          </w:tcPr>
          <w:p w14:paraId="4F6A1FCC" w14:textId="4E58FC49" w:rsidR="00377FE3" w:rsidRDefault="00377FE3" w:rsidP="00377FE3">
            <w:r>
              <w:t>Laurent Thuriès c/o Vladimir Barbet-</w:t>
            </w:r>
            <w:proofErr w:type="spellStart"/>
            <w:r>
              <w:t>Massin</w:t>
            </w:r>
            <w:proofErr w:type="spellEnd"/>
          </w:p>
        </w:tc>
      </w:tr>
      <w:tr w:rsidR="00377FE3" w14:paraId="29DA9246" w14:textId="77777777" w:rsidTr="00377FE3">
        <w:tc>
          <w:tcPr>
            <w:tcW w:w="988" w:type="dxa"/>
          </w:tcPr>
          <w:p w14:paraId="5F081E7D" w14:textId="405AB235" w:rsidR="00377FE3" w:rsidRDefault="00377FE3" w:rsidP="00377FE3">
            <w:r>
              <w:t>15h00</w:t>
            </w:r>
          </w:p>
        </w:tc>
        <w:tc>
          <w:tcPr>
            <w:tcW w:w="1591" w:type="dxa"/>
          </w:tcPr>
          <w:p w14:paraId="558689EF" w14:textId="446C6A48" w:rsidR="00377FE3" w:rsidRDefault="00377FE3" w:rsidP="00377FE3">
            <w:pPr>
              <w:spacing w:line="276" w:lineRule="auto"/>
              <w:ind w:left="-101"/>
            </w:pPr>
            <w:r>
              <w:t>15 min</w:t>
            </w:r>
          </w:p>
        </w:tc>
        <w:tc>
          <w:tcPr>
            <w:tcW w:w="8861" w:type="dxa"/>
          </w:tcPr>
          <w:p w14:paraId="25667E93" w14:textId="3F2B6E02" w:rsidR="00377FE3" w:rsidRPr="00A66E17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 xml:space="preserve">Mise en pratique = </w:t>
            </w:r>
            <w:r w:rsidRPr="00A66E17">
              <w:t>test de classifica</w:t>
            </w:r>
            <w:r>
              <w:t>tion des fertilisants : quelle nature pour quel usage ?</w:t>
            </w:r>
          </w:p>
        </w:tc>
        <w:tc>
          <w:tcPr>
            <w:tcW w:w="1062" w:type="dxa"/>
          </w:tcPr>
          <w:p w14:paraId="6812A4B1" w14:textId="3015261C" w:rsidR="00377FE3" w:rsidRDefault="00377FE3" w:rsidP="00377FE3">
            <w:r>
              <w:t>Terrain</w:t>
            </w:r>
          </w:p>
        </w:tc>
        <w:tc>
          <w:tcPr>
            <w:tcW w:w="2315" w:type="dxa"/>
          </w:tcPr>
          <w:p w14:paraId="2E450B98" w14:textId="396DC979" w:rsidR="00377FE3" w:rsidRDefault="00377FE3" w:rsidP="00377FE3">
            <w:r>
              <w:t>Amélie Février</w:t>
            </w:r>
          </w:p>
        </w:tc>
      </w:tr>
      <w:tr w:rsidR="00377FE3" w14:paraId="648573F7" w14:textId="77777777" w:rsidTr="00377FE3">
        <w:tc>
          <w:tcPr>
            <w:tcW w:w="988" w:type="dxa"/>
          </w:tcPr>
          <w:p w14:paraId="2C0B1ABB" w14:textId="5F19F280" w:rsidR="00377FE3" w:rsidRDefault="00377FE3" w:rsidP="00377FE3">
            <w:r>
              <w:t>15h15</w:t>
            </w:r>
          </w:p>
        </w:tc>
        <w:tc>
          <w:tcPr>
            <w:tcW w:w="1591" w:type="dxa"/>
          </w:tcPr>
          <w:p w14:paraId="4D80C846" w14:textId="500E85C8" w:rsidR="00377FE3" w:rsidRPr="0067080D" w:rsidRDefault="00377FE3" w:rsidP="00377FE3">
            <w:pPr>
              <w:spacing w:line="276" w:lineRule="auto"/>
              <w:ind w:left="-101"/>
            </w:pPr>
            <w:r>
              <w:t>45 min</w:t>
            </w:r>
          </w:p>
        </w:tc>
        <w:tc>
          <w:tcPr>
            <w:tcW w:w="8861" w:type="dxa"/>
          </w:tcPr>
          <w:p w14:paraId="410D5239" w14:textId="631F2DA4" w:rsidR="00377FE3" w:rsidRPr="00A66E17" w:rsidRDefault="00377FE3" w:rsidP="00377FE3">
            <w:pPr>
              <w:pStyle w:val="Paragraphedeliste"/>
              <w:numPr>
                <w:ilvl w:val="2"/>
                <w:numId w:val="4"/>
              </w:numPr>
              <w:spacing w:line="276" w:lineRule="auto"/>
              <w:ind w:left="425" w:hanging="208"/>
            </w:pPr>
            <w:r>
              <w:t>Qualification</w:t>
            </w:r>
            <w:r w:rsidRPr="0067080D">
              <w:t xml:space="preserve"> in situ</w:t>
            </w:r>
            <w:r>
              <w:t xml:space="preserve"> = diagnostic du compostage ; maitriser l’hétérogénéité d’un fertilisant organique en cours de transformation pour une bonne caractérisation avant épandage </w:t>
            </w:r>
          </w:p>
        </w:tc>
        <w:tc>
          <w:tcPr>
            <w:tcW w:w="1062" w:type="dxa"/>
          </w:tcPr>
          <w:p w14:paraId="1B1E453F" w14:textId="5B527586" w:rsidR="00377FE3" w:rsidRDefault="00377FE3" w:rsidP="00377FE3">
            <w:r>
              <w:t>Terrain</w:t>
            </w:r>
          </w:p>
          <w:p w14:paraId="37183554" w14:textId="119111B9" w:rsidR="00377FE3" w:rsidRDefault="00377FE3" w:rsidP="00377FE3"/>
        </w:tc>
        <w:tc>
          <w:tcPr>
            <w:tcW w:w="2315" w:type="dxa"/>
          </w:tcPr>
          <w:p w14:paraId="36C2A6CA" w14:textId="77777777" w:rsidR="00377FE3" w:rsidRDefault="00377FE3" w:rsidP="00377FE3">
            <w:r>
              <w:t>Laurent Thuriès</w:t>
            </w:r>
          </w:p>
        </w:tc>
      </w:tr>
    </w:tbl>
    <w:p w14:paraId="4E0F501A" w14:textId="77777777" w:rsidR="00083112" w:rsidRDefault="00083112"/>
    <w:sectPr w:rsidR="00083112" w:rsidSect="00E25A9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73777" w16cid:durableId="22823417"/>
  <w16cid:commentId w16cid:paraId="32C784FB" w16cid:durableId="228233B2"/>
  <w16cid:commentId w16cid:paraId="2B45663B" w16cid:durableId="228233A2"/>
  <w16cid:commentId w16cid:paraId="75388994" w16cid:durableId="228234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0F2"/>
    <w:multiLevelType w:val="hybridMultilevel"/>
    <w:tmpl w:val="CE567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7B24"/>
    <w:multiLevelType w:val="hybridMultilevel"/>
    <w:tmpl w:val="D638C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3437"/>
    <w:multiLevelType w:val="hybridMultilevel"/>
    <w:tmpl w:val="C85E3F3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463314"/>
    <w:multiLevelType w:val="hybridMultilevel"/>
    <w:tmpl w:val="98BE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35CA"/>
    <w:multiLevelType w:val="hybridMultilevel"/>
    <w:tmpl w:val="7BCE1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2"/>
    <w:rsid w:val="00083112"/>
    <w:rsid w:val="001154A0"/>
    <w:rsid w:val="00115994"/>
    <w:rsid w:val="002109D4"/>
    <w:rsid w:val="002B75D9"/>
    <w:rsid w:val="002F4CB3"/>
    <w:rsid w:val="00312A9F"/>
    <w:rsid w:val="00327243"/>
    <w:rsid w:val="0036285A"/>
    <w:rsid w:val="00377292"/>
    <w:rsid w:val="00377FE3"/>
    <w:rsid w:val="003C68A0"/>
    <w:rsid w:val="00480016"/>
    <w:rsid w:val="004B5D72"/>
    <w:rsid w:val="005D096C"/>
    <w:rsid w:val="0067080D"/>
    <w:rsid w:val="006D0985"/>
    <w:rsid w:val="006D743B"/>
    <w:rsid w:val="007803F7"/>
    <w:rsid w:val="00782C1A"/>
    <w:rsid w:val="00796E63"/>
    <w:rsid w:val="007C0C57"/>
    <w:rsid w:val="00867EE2"/>
    <w:rsid w:val="00940301"/>
    <w:rsid w:val="009840F5"/>
    <w:rsid w:val="009A540A"/>
    <w:rsid w:val="009F189A"/>
    <w:rsid w:val="00A2567C"/>
    <w:rsid w:val="00A4267F"/>
    <w:rsid w:val="00A51F1D"/>
    <w:rsid w:val="00B33864"/>
    <w:rsid w:val="00B5492D"/>
    <w:rsid w:val="00BB7CA5"/>
    <w:rsid w:val="00D45067"/>
    <w:rsid w:val="00DA352B"/>
    <w:rsid w:val="00DD35EB"/>
    <w:rsid w:val="00DD7A8A"/>
    <w:rsid w:val="00E21AC0"/>
    <w:rsid w:val="00E25A90"/>
    <w:rsid w:val="00E26005"/>
    <w:rsid w:val="00E40959"/>
    <w:rsid w:val="00E442B5"/>
    <w:rsid w:val="00EB290B"/>
    <w:rsid w:val="00EC0036"/>
    <w:rsid w:val="00F35B9B"/>
    <w:rsid w:val="00F52043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51F2"/>
  <w15:docId w15:val="{61886C13-7224-417B-853C-96252DB4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31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08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8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8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8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8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5C277DE374F4582F0747DD3169274" ma:contentTypeVersion="11" ma:contentTypeDescription="Crée un document." ma:contentTypeScope="" ma:versionID="849deab314199084ac771519e35b98fd">
  <xsd:schema xmlns:xsd="http://www.w3.org/2001/XMLSchema" xmlns:xs="http://www.w3.org/2001/XMLSchema" xmlns:p="http://schemas.microsoft.com/office/2006/metadata/properties" xmlns:ns3="df867a83-c88f-4736-85af-aeba063d1cd5" xmlns:ns4="8817f5c4-6812-476d-9c3e-d256d4d66527" targetNamespace="http://schemas.microsoft.com/office/2006/metadata/properties" ma:root="true" ma:fieldsID="2ec446206653d73f4c2878cab8dc03ff" ns3:_="" ns4:_="">
    <xsd:import namespace="df867a83-c88f-4736-85af-aeba063d1cd5"/>
    <xsd:import namespace="8817f5c4-6812-476d-9c3e-d256d4d66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67a83-c88f-4736-85af-aeba063d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f5c4-6812-476d-9c3e-d256d4d66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7205E-F3D5-4C0C-AB92-2F087541D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30C2E-7560-49E3-8CD8-BD48A78B4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4D310-546E-4B27-A2D7-9F54CDB0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67a83-c88f-4736-85af-aeba063d1cd5"/>
    <ds:schemaRef ds:uri="8817f5c4-6812-476d-9c3e-d256d4d66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Matthieu Bravin</dc:creator>
  <cp:lastModifiedBy>Laurent Thuriès</cp:lastModifiedBy>
  <cp:revision>6</cp:revision>
  <dcterms:created xsi:type="dcterms:W3CDTF">2020-10-22T05:00:00Z</dcterms:created>
  <dcterms:modified xsi:type="dcterms:W3CDTF">2020-10-26T04:48:00Z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0x010100ECC5C277DE374F4582F0747DD3169274</vt:lpwstr>
  </property>
</Properties>
</file>